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A0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rPr>
          <w:rFonts w:hint="default" w:ascii="Times New Roman" w:hAnsi="Times New Roman" w:eastAsia="黑体" w:cs="Times New Roman"/>
          <w:kern w:val="0"/>
          <w:sz w:val="32"/>
          <w:szCs w:val="4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0"/>
          <w:sz w:val="32"/>
          <w:szCs w:val="48"/>
          <w:lang w:val="en-US" w:eastAsia="zh-CN"/>
        </w:rPr>
        <w:t>附 件</w:t>
      </w:r>
    </w:p>
    <w:p w14:paraId="181C9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rPr>
          <w:rFonts w:hint="default" w:ascii="Times New Roman" w:hAnsi="Times New Roman" w:cs="Times New Roman"/>
          <w:kern w:val="0"/>
          <w:szCs w:val="32"/>
          <w:lang w:val="en-US" w:eastAsia="zh-CN"/>
        </w:rPr>
      </w:pPr>
    </w:p>
    <w:p w14:paraId="61F691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年度省软科学研究计划项目指南</w:t>
      </w:r>
    </w:p>
    <w:p w14:paraId="4598F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 w14:paraId="2BF20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项目选题要以习近平新时代中国特色社会主义思想为指导，围绕贯彻党的二十大、二十届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二中、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三中全会精神及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习近平总书记视察河南讲话精神，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落实“两高四着力”、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省委十一届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次全会部署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创新驱动发展战略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开展研究。支持对象为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河南省内的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高等院校、科研院所以及其他具有研究能力的事业单位。重大项目经费支持额度为30万元，重点项目经费支持额度为12万元，一般项目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、青年项目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经费支持额度为3万元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（各申报单位青年项目推荐占比不得低于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35%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。重大项目和重点项目实施周期不超过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年，一般项目实施周期不超过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年；项目按期无法完成的，经单位审核同意可延期不超过1年。重大项目和重点项目实行后补助。立项当年拨付60%资金，验收通过后拨付剩余40%。</w:t>
      </w:r>
    </w:p>
    <w:p w14:paraId="3B5E39D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一、重大项目</w:t>
      </w:r>
    </w:p>
    <w:p w14:paraId="4041E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河南融入全国统一大市场发展战略研究</w:t>
      </w:r>
    </w:p>
    <w:p w14:paraId="7A32D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2. 河南省构建现代化产业体系战略研究</w:t>
      </w:r>
    </w:p>
    <w:p w14:paraId="1196B23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河南省高效能治理对策研究</w:t>
      </w:r>
    </w:p>
    <w:p w14:paraId="4AA10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科技创新助力河南省文化繁荣兴盛研究</w:t>
      </w:r>
    </w:p>
    <w:p w14:paraId="24A905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二、重点项目</w:t>
      </w:r>
    </w:p>
    <w:p w14:paraId="4C02AA8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 河南省建设数智强省路径研究</w:t>
      </w:r>
    </w:p>
    <w:p w14:paraId="5BE8537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河南省内河航运高质量发展战略研究</w:t>
      </w:r>
    </w:p>
    <w:p w14:paraId="49B923D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 推进生态环境保护建设美丽河南战略研究</w:t>
      </w:r>
    </w:p>
    <w:p w14:paraId="0F5E578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河南省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科技特派员助力农业强省建设策略研究</w:t>
      </w:r>
    </w:p>
    <w:p w14:paraId="0C5D10F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世界前沿科技趋势及发达国家科技发展战略研究</w:t>
      </w:r>
    </w:p>
    <w:p w14:paraId="1CB00B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6. 河南省人工智能产业高质量发展路径与对策研究</w:t>
      </w:r>
    </w:p>
    <w:p w14:paraId="2BFA0D7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河南省人工智能赋能产业发展路径对策研究</w:t>
      </w:r>
    </w:p>
    <w:p w14:paraId="4EAA4EF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河南省无人机产业技术创新发展路径研究</w:t>
      </w:r>
    </w:p>
    <w:p w14:paraId="7F33476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9.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河南省绿色低碳产业科技创新潜能与技术路径研究</w:t>
      </w:r>
    </w:p>
    <w:p w14:paraId="1DD5F30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河南省实验动物生物安全管理效能提升与对策研究</w:t>
      </w:r>
    </w:p>
    <w:p w14:paraId="780829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河南省科技企业创新积分制体系构建和分析研究</w:t>
      </w:r>
    </w:p>
    <w:p w14:paraId="640076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河南省揭榜挂帅项目组织实施机制优化提升对策研究</w:t>
      </w:r>
    </w:p>
    <w:p w14:paraId="7DE76AB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河南省省级财政科技经费全过程绩效管理研究</w:t>
      </w:r>
    </w:p>
    <w:p w14:paraId="12531FA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河南省科技奖励后评估指标体系构建与实证研究</w:t>
      </w:r>
    </w:p>
    <w:p w14:paraId="180D13D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15. 河南省科技伦理治理能力提升路径研究</w:t>
      </w:r>
    </w:p>
    <w:p w14:paraId="1E6B24C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河南省新型研发机构建设与规范管理研究</w:t>
      </w:r>
    </w:p>
    <w:p w14:paraId="077EEF0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河南省大型科研仪器数智化共享体系构建路径与政策机制研究</w:t>
      </w:r>
    </w:p>
    <w:p w14:paraId="1945BA5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河南省高层次人才引进政策评估及作用发挥路径研究</w:t>
      </w:r>
    </w:p>
    <w:p w14:paraId="14791FE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河南省科技成果转移转化网络体系建设路径与质效评价研究</w:t>
      </w:r>
    </w:p>
    <w:p w14:paraId="1BF22A7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河南省融入国家国际科技创新合作总体布局路径研究</w:t>
      </w:r>
    </w:p>
    <w:p w14:paraId="604F174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“一带一路”背景下河南与东盟国家科技产业合作及人文交流双轮驱动机制研究</w:t>
      </w:r>
    </w:p>
    <w:p w14:paraId="0C69CAC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新形势下机关基层党建工作问题及对策研究</w:t>
      </w:r>
    </w:p>
    <w:p w14:paraId="483BAD9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“两新”背景下纪检监察工作助推科技创新发展机制研究</w:t>
      </w:r>
    </w:p>
    <w:p w14:paraId="202C30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44"/>
          <w:sz w:val="32"/>
          <w:szCs w:val="32"/>
          <w:lang w:val="en-US" w:eastAsia="zh-CN" w:bidi="ar-SA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44"/>
          <w:sz w:val="32"/>
          <w:szCs w:val="32"/>
          <w:lang w:val="en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44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44"/>
          <w:sz w:val="32"/>
          <w:szCs w:val="32"/>
          <w:lang w:val="en" w:eastAsia="zh-CN" w:bidi="ar-SA"/>
        </w:rPr>
        <w:t>河南省完善基层监督体系研究</w:t>
      </w:r>
    </w:p>
    <w:p w14:paraId="6B86946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25. </w:t>
      </w:r>
      <w:r>
        <w:rPr>
          <w:rFonts w:hint="default" w:ascii="Times New Roman" w:hAnsi="Times New Roman" w:eastAsia="仿宋_GB2312" w:cs="Times New Roman"/>
          <w:color w:val="auto"/>
          <w:kern w:val="44"/>
          <w:sz w:val="32"/>
          <w:szCs w:val="32"/>
          <w:lang w:val="en" w:eastAsia="zh-CN" w:bidi="ar-SA"/>
        </w:rPr>
        <w:t>河南省加强廉洁文化建设研究</w:t>
      </w:r>
    </w:p>
    <w:p w14:paraId="41A341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河南省乡村振兴背景下的共同富裕路径对策研究</w:t>
      </w:r>
    </w:p>
    <w:p w14:paraId="0901A26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27. 地方师范院校服务乡村振兴的内在逻辑与实践路径研究</w:t>
      </w:r>
    </w:p>
    <w:p w14:paraId="7F023A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河南省重大科技创新项目（平台）绩效监测评估机制建设与实践应用研究</w:t>
      </w:r>
    </w:p>
    <w:p w14:paraId="1B7D82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29.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国家历史文化名城国际化传播策略研究</w:t>
      </w:r>
    </w:p>
    <w:p w14:paraId="4778A85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法治政府视角下行政规范性文件质量管控问题与对策研究</w:t>
      </w:r>
    </w:p>
    <w:p w14:paraId="74C160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河南省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省直机关内设机构及公务员科学化考核探索与研究</w:t>
      </w:r>
    </w:p>
    <w:p w14:paraId="2E8B4E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三、一般项目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、青年项目</w:t>
      </w:r>
    </w:p>
    <w:p w14:paraId="04F26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1. 黄河流域生态保护和高质量发展</w:t>
      </w:r>
    </w:p>
    <w:p w14:paraId="5C07E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2.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中部地区崛起</w:t>
      </w:r>
    </w:p>
    <w:p w14:paraId="617D9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3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经济社会高质量发展</w:t>
      </w:r>
    </w:p>
    <w:p w14:paraId="7CD62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高效能治理</w:t>
      </w:r>
    </w:p>
    <w:p w14:paraId="0224F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创新驱动科教兴省人才强省</w:t>
      </w:r>
    </w:p>
    <w:p w14:paraId="36ED2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6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现代化产业体系</w:t>
      </w:r>
    </w:p>
    <w:p w14:paraId="3B69E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7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农业强省与粮食安全</w:t>
      </w:r>
    </w:p>
    <w:p w14:paraId="07143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8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生态环境保护</w:t>
      </w:r>
    </w:p>
    <w:p w14:paraId="7C016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9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文化繁荣兴盛</w:t>
      </w:r>
    </w:p>
    <w:p w14:paraId="77973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10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改善民生、社会治理</w:t>
      </w:r>
    </w:p>
    <w:p w14:paraId="25D9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11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深化改革开放</w:t>
      </w:r>
    </w:p>
    <w:p w14:paraId="41AAE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. 国内国际双循环</w:t>
      </w:r>
    </w:p>
    <w:p w14:paraId="26B3E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13.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融入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" w:eastAsia="zh-CN"/>
        </w:rPr>
        <w:t>全国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统一大市场</w:t>
      </w:r>
    </w:p>
    <w:p w14:paraId="7E09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四、会计专题</w:t>
      </w:r>
    </w:p>
    <w:p w14:paraId="6D067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围绕完善财政制度、会计改革与发展、会计领域改革重大理论和实践问题、会计理论机制创新等方面开展。（会计专题由省科技厅和省财政厅共同组织实施，择优采用后补助形式进行经费支持）</w:t>
      </w:r>
    </w:p>
    <w:p w14:paraId="17C0C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8204200</wp:posOffset>
                </wp:positionV>
                <wp:extent cx="971550" cy="447675"/>
                <wp:effectExtent l="4445" t="4445" r="1460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797C4FF"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95pt;margin-top:646pt;height:35.25pt;width:76.5pt;z-index:251660288;mso-width-relative:page;mso-height-relative:page;" fillcolor="#FFFFFF" filled="t" stroked="t" coordsize="21600,21600" o:gfxdata="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V&#10;OMFO2AAAAAsBAAAPAAAAAAAAAAEAIAAAACIAAABkcnMvZG93bnJldi54bWxQSwECFAAUAAAACACH&#10;TuJAeMfOuyQCAABoBAAADgAAAAAAAAABACAAAAAnAQAAZHJzL2Uyb0RvYy54bWxQSwUGAAAAAAYA&#10;BgBZAQAAv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7797C4FF"/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1906" w:h="16838"/>
      <w:pgMar w:top="2098" w:right="1474" w:bottom="1814" w:left="1587" w:header="851" w:footer="133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E8A9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31BE52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V0Ed0BAAC+AwAADgAAAGRycy9lMm9Eb2MueG1srVNBrtMwEN0jcQfL&#10;e5q0Eq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hVdB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31BE52">
                    <w:pPr>
                      <w:pStyle w:val="5"/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