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uto"/>
        <w:jc w:val="center"/>
        <w:rPr>
          <w:rFonts w:ascii="方正小标宋简体" w:hAnsi="宋体" w:eastAsia="方正小标宋简体" w:cs="宋体"/>
          <w:b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b/>
          <w:kern w:val="0"/>
          <w:sz w:val="32"/>
          <w:szCs w:val="32"/>
        </w:rPr>
        <w:t>2019年度申报职称人员需报送材料明细</w:t>
      </w:r>
    </w:p>
    <w:p>
      <w:pPr>
        <w:widowControl/>
        <w:shd w:val="clear" w:color="auto" w:fill="FFFFFF"/>
        <w:ind w:firstLine="420" w:firstLineChars="15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为进一步增强服务意识，提升服务质量，本着“便民”的原则，尽量减少申报人员提交材料，经与相关职能部门协调后，现将提交材料有关事宜说明如下:</w:t>
      </w:r>
    </w:p>
    <w:p>
      <w:pPr>
        <w:widowControl/>
        <w:shd w:val="clear" w:color="auto" w:fill="FFFFFF"/>
        <w:jc w:val="left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   一、申报人员整理材料时，应保证各类业绩材料在《评审简表》、《评审表》及《专业技术职务评审量化测评计分表》中顺序一致。按照材料清单顺序归类装订装袋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，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每袋请注明材料类别，可分为以下六类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。符合豫人社办〔2017〕12号文件的材料需排在最前面，凡是申请量化加分的材料需在备注中标明“量化加分项”，材料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右上角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用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铅笔标注序号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，以方便查找和防范丢失。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各类参评业绩材料均应为任现职以来获得，计算截止时间为201</w:t>
      </w: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28"/>
          <w:szCs w:val="28"/>
        </w:rPr>
        <w:t>9年1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月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31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日。</w:t>
      </w:r>
    </w:p>
    <w:tbl>
      <w:tblPr>
        <w:tblStyle w:val="6"/>
        <w:tblW w:w="958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4"/>
        <w:gridCol w:w="7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类 别</w:t>
            </w:r>
          </w:p>
        </w:tc>
        <w:tc>
          <w:tcPr>
            <w:tcW w:w="7741" w:type="dxa"/>
          </w:tcPr>
          <w:p>
            <w:pPr>
              <w:widowControl/>
              <w:spacing w:line="360" w:lineRule="auto"/>
              <w:ind w:firstLine="3092" w:firstLineChars="1100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内  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134" w:hRule="atLeast"/>
        </w:trPr>
        <w:tc>
          <w:tcPr>
            <w:tcW w:w="1844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 xml:space="preserve">第1类    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个人基本信息材料</w:t>
            </w:r>
          </w:p>
        </w:tc>
        <w:tc>
          <w:tcPr>
            <w:tcW w:w="7741" w:type="dxa"/>
          </w:tcPr>
          <w:p>
            <w:pPr>
              <w:widowControl/>
              <w:spacing w:line="360" w:lineRule="auto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1.《职称申报推荐诚信承诺书》一式1份。</w:t>
            </w:r>
          </w:p>
          <w:p>
            <w:pPr>
              <w:widowControl/>
              <w:shd w:val="clear" w:color="auto" w:fill="FFFFFF"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2.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《郑州铁路职业技术学院专业技术职务任职资格评审简表》</w:t>
            </w:r>
            <w:r>
              <w:rPr>
                <w:rFonts w:hint="eastAsia" w:ascii="仿宋_GB2312" w:eastAsia="仿宋_GB2312"/>
                <w:sz w:val="28"/>
                <w:szCs w:val="28"/>
              </w:rPr>
              <w:t>一式3份（A3纸，双面打印）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。</w:t>
            </w:r>
          </w:p>
          <w:p>
            <w:pPr>
              <w:widowControl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3.《评审表》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一式3份。《评审表》和《评审简表》中的个人信息及业绩情况应准确、规范填写，确保真实。《评审表》、《评审简表》相同栏目同一业绩的填写顺序应一致。</w:t>
            </w:r>
          </w:p>
          <w:p>
            <w:pPr>
              <w:widowControl/>
              <w:shd w:val="clear" w:color="auto" w:fill="FFFFFF"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4.《专业技术职务评审量化测评计分表》一式3份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。</w:t>
            </w:r>
          </w:p>
          <w:p>
            <w:pPr>
              <w:widowControl/>
              <w:spacing w:line="360" w:lineRule="auto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5.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未上交学历学位认证报告的，须提供认证报告原件。</w:t>
            </w:r>
          </w:p>
          <w:p>
            <w:pPr>
              <w:widowControl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6.申报高校教师系列职称的人员提交1章教案；申报高级实验师的人员提交2份实验教案（教案和实验教案须经推荐部门审核盖章）。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844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 xml:space="preserve">第2类    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获奖情况</w:t>
            </w:r>
          </w:p>
        </w:tc>
        <w:tc>
          <w:tcPr>
            <w:tcW w:w="7741" w:type="dxa"/>
          </w:tcPr>
          <w:p>
            <w:pPr>
              <w:widowControl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荣誉类证书原件（只交芯）。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7" w:hRule="atLeast"/>
        </w:trPr>
        <w:tc>
          <w:tcPr>
            <w:tcW w:w="1844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 xml:space="preserve">第3类    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代表性论文</w:t>
            </w:r>
          </w:p>
        </w:tc>
        <w:tc>
          <w:tcPr>
            <w:tcW w:w="7741" w:type="dxa"/>
          </w:tcPr>
          <w:p>
            <w:pPr>
              <w:widowControl/>
              <w:numPr>
                <w:ilvl w:val="0"/>
                <w:numId w:val="1"/>
              </w:numPr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任现职以来正式发表、出版的代表性论文须提供符合要求的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</w:rPr>
              <w:t>检索页，检索页附前。未</w:t>
            </w:r>
            <w:r>
              <w:rPr>
                <w:rFonts w:hint="eastAsia" w:ascii="仿宋_GB2312" w:eastAsia="仿宋_GB2312"/>
                <w:sz w:val="28"/>
                <w:szCs w:val="28"/>
              </w:rPr>
              <w:t>按要求检索、验证的论文只作为业绩参考条件。</w:t>
            </w:r>
          </w:p>
          <w:p>
            <w:pPr>
              <w:widowControl/>
              <w:numPr>
                <w:ilvl w:val="0"/>
                <w:numId w:val="1"/>
              </w:numPr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晋升正高级职务者，须提交2篇外审论文电子稿（必须为PDF格式）。</w:t>
            </w:r>
          </w:p>
          <w:p>
            <w:pPr>
              <w:widowControl/>
              <w:numPr>
                <w:ilvl w:val="0"/>
                <w:numId w:val="1"/>
              </w:numPr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在期刊目录用彩笔在本人所著论文标题下加下划线，将本人所著论文正文首页折叠出角。</w:t>
            </w:r>
          </w:p>
          <w:p>
            <w:pPr>
              <w:widowControl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4.所有论文按《评审简表》中所填写顺序装袋,论文多者可分袋。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844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第4类     代表性著作</w:t>
            </w:r>
          </w:p>
        </w:tc>
        <w:tc>
          <w:tcPr>
            <w:tcW w:w="7741" w:type="dxa"/>
          </w:tcPr>
          <w:p>
            <w:pPr>
              <w:widowControl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1.著作、教材须附在国家新闻出版广电总局网站“CIP数据核字号验证”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</w:rPr>
              <w:t>的检索页。未按</w:t>
            </w:r>
            <w:r>
              <w:rPr>
                <w:rFonts w:hint="eastAsia" w:ascii="仿宋_GB2312" w:eastAsia="仿宋_GB2312"/>
                <w:sz w:val="28"/>
                <w:szCs w:val="28"/>
              </w:rPr>
              <w:t>要求检索、验证的著作、教材只作为业绩参考条件。</w:t>
            </w:r>
          </w:p>
          <w:p>
            <w:pPr>
              <w:widowControl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2.著作，版权页、说明页牵涉到本人所写字数及正文中有本人署名的用彩笔标明，本人所著部分首页叠角出边，尾页同样叠角出边。</w:t>
            </w:r>
          </w:p>
          <w:p>
            <w:pPr>
              <w:widowControl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3.著作多者可分袋。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844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 xml:space="preserve">第5类    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科研成果</w:t>
            </w:r>
          </w:p>
        </w:tc>
        <w:tc>
          <w:tcPr>
            <w:tcW w:w="7741" w:type="dxa"/>
          </w:tcPr>
          <w:p>
            <w:pPr>
              <w:widowControl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任现职以来项目、获奖、专利等主要业绩材料原件。材料多者可分袋。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844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 xml:space="preserve">第6类    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其它业绩材料</w:t>
            </w:r>
          </w:p>
        </w:tc>
        <w:tc>
          <w:tcPr>
            <w:tcW w:w="7741" w:type="dxa"/>
          </w:tcPr>
          <w:p>
            <w:pPr>
              <w:widowControl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1.研究生导师、教研室主任、兼职辅导员、班主任、社团指导老师等相关证明材料需经相关部门负责人签字并加盖公章。</w:t>
            </w:r>
          </w:p>
          <w:p>
            <w:pPr>
              <w:widowControl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2.填写的其他相关业绩的佐证材料。</w:t>
            </w:r>
          </w:p>
        </w:tc>
      </w:tr>
    </w:tbl>
    <w:p>
      <w:pPr>
        <w:widowControl/>
        <w:shd w:val="clear" w:color="auto" w:fill="FFFFFF"/>
        <w:spacing w:line="360" w:lineRule="auto"/>
        <w:jc w:val="left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   </w:t>
      </w:r>
    </w:p>
    <w:p>
      <w:pPr>
        <w:widowControl/>
        <w:shd w:val="clear" w:color="auto" w:fill="FFFFFF"/>
        <w:spacing w:line="360" w:lineRule="auto"/>
        <w:ind w:firstLine="560" w:firstLineChars="200"/>
        <w:jc w:val="left"/>
        <w:rPr>
          <w:b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二、材料汇总后装入材料袋，一人一袋。材料袋应采用结实耐用的拉链式布质手提袋子，袋子两面均要粘贴个人简明信息标识（建议采用白色医用胶布，尽量不使用吊牌、打印纸等易损、易丢材质），</w:t>
      </w: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标注单位、姓名、专业、级别、评审类型及联系方式等。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27372B"/>
    <w:multiLevelType w:val="singleLevel"/>
    <w:tmpl w:val="5C27372B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